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CD" w:rsidRPr="005933CD" w:rsidRDefault="005933CD" w:rsidP="005933CD">
      <w:pPr>
        <w:shd w:val="clear" w:color="auto" w:fill="F4F5F9"/>
        <w:spacing w:after="0" w:line="240" w:lineRule="auto"/>
        <w:textAlignment w:val="baseline"/>
        <w:outlineLvl w:val="0"/>
        <w:rPr>
          <w:rFonts w:ascii="OpenSans-Bold" w:eastAsia="Times New Roman" w:hAnsi="OpenSans-Bold" w:cs="Times New Roman"/>
          <w:b/>
          <w:bCs/>
          <w:color w:val="0D4981"/>
          <w:kern w:val="36"/>
          <w:sz w:val="53"/>
          <w:szCs w:val="53"/>
          <w:lang w:eastAsia="ru-RU"/>
        </w:rPr>
      </w:pPr>
      <w:bookmarkStart w:id="0" w:name="_GoBack"/>
      <w:bookmarkEnd w:id="0"/>
      <w:proofErr w:type="spellStart"/>
      <w:r w:rsidRPr="005933CD">
        <w:rPr>
          <w:rFonts w:ascii="OpenSans-Bold" w:eastAsia="Times New Roman" w:hAnsi="OpenSans-Bold" w:cs="Times New Roman"/>
          <w:b/>
          <w:bCs/>
          <w:color w:val="0D4981"/>
          <w:kern w:val="36"/>
          <w:sz w:val="53"/>
          <w:szCs w:val="53"/>
          <w:lang w:eastAsia="ru-RU"/>
        </w:rPr>
        <w:t>Микрозайм</w:t>
      </w:r>
      <w:proofErr w:type="spellEnd"/>
      <w:r w:rsidRPr="005933CD">
        <w:rPr>
          <w:rFonts w:ascii="OpenSans-Bold" w:eastAsia="Times New Roman" w:hAnsi="OpenSans-Bold" w:cs="Times New Roman"/>
          <w:b/>
          <w:bCs/>
          <w:color w:val="0D4981"/>
          <w:kern w:val="36"/>
          <w:sz w:val="53"/>
          <w:szCs w:val="53"/>
          <w:lang w:eastAsia="ru-RU"/>
        </w:rPr>
        <w:t xml:space="preserve"> для действующих субъектов малого и среднего предпринимательства</w:t>
      </w:r>
    </w:p>
    <w:p w:rsidR="005933CD" w:rsidRPr="005933CD" w:rsidRDefault="005933CD" w:rsidP="005933CD">
      <w:pPr>
        <w:shd w:val="clear" w:color="auto" w:fill="E9EBF0"/>
        <w:spacing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bookmarkStart w:id="1" w:name="vosstanovlenie_msp"/>
      <w:bookmarkEnd w:id="1"/>
      <w:r w:rsidRPr="005933CD">
        <w:rPr>
          <w:rFonts w:ascii="OpenSans-Regular" w:eastAsia="Times New Roman" w:hAnsi="OpenSans-Regular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 wp14:anchorId="452FEA4C" wp14:editId="5A3C497D">
            <wp:extent cx="2352675" cy="2343150"/>
            <wp:effectExtent l="0" t="0" r="9525" b="0"/>
            <wp:docPr id="1" name="Рисунок 1" descr="К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3CD" w:rsidRPr="005933CD" w:rsidRDefault="005933CD" w:rsidP="005933CD">
      <w:pPr>
        <w:shd w:val="clear" w:color="auto" w:fill="E9EBF0"/>
        <w:spacing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для действующих субъектов малого и среднего предпринимательства</w:t>
      </w:r>
    </w:p>
    <w:p w:rsidR="005933CD" w:rsidRPr="005933CD" w:rsidRDefault="005933CD" w:rsidP="005933CD">
      <w:pPr>
        <w:shd w:val="clear" w:color="auto" w:fill="DFE2E7"/>
        <w:spacing w:after="0" w:line="450" w:lineRule="atLeast"/>
        <w:jc w:val="center"/>
        <w:textAlignment w:val="center"/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</w:pPr>
      <w:r w:rsidRPr="005933CD"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  <w:t>Сумма </w:t>
      </w:r>
      <w:proofErr w:type="spellStart"/>
      <w:r w:rsidRPr="005933CD"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  <w:t>микрозайма</w:t>
      </w:r>
      <w:proofErr w:type="spellEnd"/>
      <w:r w:rsidRPr="005933CD"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  <w:t>,</w:t>
      </w:r>
      <w:r w:rsidRPr="005933CD"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  <w:br/>
      </w:r>
      <w:proofErr w:type="spellStart"/>
      <w:r w:rsidRPr="005933CD"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  <w:t>тыс</w:t>
      </w:r>
      <w:proofErr w:type="gramStart"/>
      <w:r w:rsidRPr="005933CD"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  <w:t>.р</w:t>
      </w:r>
      <w:proofErr w:type="gramEnd"/>
      <w:r w:rsidRPr="005933CD"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  <w:t>уб</w:t>
      </w:r>
      <w:proofErr w:type="spellEnd"/>
      <w:r w:rsidRPr="005933CD"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  <w:t>.</w:t>
      </w:r>
      <w:r w:rsidRPr="005933CD"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  <w:br/>
      </w:r>
      <w:r w:rsidRPr="005933CD">
        <w:rPr>
          <w:rFonts w:ascii="OpenSans-SemiBold" w:eastAsia="Times New Roman" w:hAnsi="OpenSans-SemiBold" w:cs="Times New Roman"/>
          <w:color w:val="0D4981"/>
          <w:sz w:val="51"/>
          <w:szCs w:val="51"/>
          <w:bdr w:val="none" w:sz="0" w:space="0" w:color="auto" w:frame="1"/>
          <w:lang w:eastAsia="ru-RU"/>
        </w:rPr>
        <w:t>100-5000</w:t>
      </w:r>
    </w:p>
    <w:p w:rsidR="005933CD" w:rsidRPr="005933CD" w:rsidRDefault="005933CD" w:rsidP="005933CD">
      <w:pPr>
        <w:shd w:val="clear" w:color="auto" w:fill="DFE2E7"/>
        <w:spacing w:after="0" w:line="450" w:lineRule="atLeast"/>
        <w:jc w:val="center"/>
        <w:textAlignment w:val="center"/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</w:pPr>
      <w:r w:rsidRPr="005933CD"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  <w:t xml:space="preserve">Ставка, % </w:t>
      </w:r>
      <w:proofErr w:type="gramStart"/>
      <w:r w:rsidRPr="005933CD"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  <w:t>годовых</w:t>
      </w:r>
      <w:proofErr w:type="gramEnd"/>
      <w:r w:rsidRPr="005933CD"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  <w:br/>
      </w:r>
      <w:r w:rsidRPr="005933CD">
        <w:rPr>
          <w:rFonts w:ascii="OpenSans-SemiBold" w:eastAsia="Times New Roman" w:hAnsi="OpenSans-SemiBold" w:cs="Times New Roman"/>
          <w:color w:val="0D4981"/>
          <w:sz w:val="51"/>
          <w:szCs w:val="51"/>
          <w:bdr w:val="none" w:sz="0" w:space="0" w:color="auto" w:frame="1"/>
          <w:lang w:eastAsia="ru-RU"/>
        </w:rPr>
        <w:t>3</w:t>
      </w:r>
    </w:p>
    <w:p w:rsidR="005933CD" w:rsidRPr="005933CD" w:rsidRDefault="005933CD" w:rsidP="005933CD">
      <w:pPr>
        <w:shd w:val="clear" w:color="auto" w:fill="DFE2E7"/>
        <w:spacing w:after="0" w:line="450" w:lineRule="atLeast"/>
        <w:jc w:val="center"/>
        <w:textAlignment w:val="center"/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</w:pPr>
      <w:r w:rsidRPr="005933CD"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  <w:t>Срок, мес.</w:t>
      </w:r>
      <w:r w:rsidRPr="005933CD"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  <w:br/>
      </w:r>
      <w:r w:rsidRPr="005933CD">
        <w:rPr>
          <w:rFonts w:ascii="OpenSans-SemiBold" w:eastAsia="Times New Roman" w:hAnsi="OpenSans-SemiBold" w:cs="Times New Roman"/>
          <w:color w:val="0D4981"/>
          <w:sz w:val="51"/>
          <w:szCs w:val="51"/>
          <w:bdr w:val="none" w:sz="0" w:space="0" w:color="auto" w:frame="1"/>
          <w:lang w:eastAsia="ru-RU"/>
        </w:rPr>
        <w:t>3-36</w:t>
      </w:r>
    </w:p>
    <w:p w:rsidR="005933CD" w:rsidRPr="005933CD" w:rsidRDefault="005933CD" w:rsidP="005933CD">
      <w:pPr>
        <w:shd w:val="clear" w:color="auto" w:fill="DFE2E7"/>
        <w:spacing w:after="0" w:line="450" w:lineRule="atLeast"/>
        <w:jc w:val="center"/>
        <w:textAlignment w:val="center"/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</w:pPr>
      <w:r w:rsidRPr="005933CD"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  <w:t>Льготное погашение</w:t>
      </w:r>
      <w:r w:rsidRPr="005933CD"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  <w:br/>
        <w:t>основного долга</w:t>
      </w:r>
      <w:r w:rsidRPr="005933CD"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  <w:br/>
      </w:r>
      <w:r w:rsidRPr="005933CD">
        <w:rPr>
          <w:rFonts w:ascii="OpenSans-SemiBold" w:eastAsia="Times New Roman" w:hAnsi="OpenSans-SemiBold" w:cs="Times New Roman"/>
          <w:color w:val="0D4981"/>
          <w:sz w:val="51"/>
          <w:szCs w:val="51"/>
          <w:bdr w:val="none" w:sz="0" w:space="0" w:color="auto" w:frame="1"/>
          <w:lang w:eastAsia="ru-RU"/>
        </w:rPr>
        <w:t>до 6 мес.</w:t>
      </w:r>
    </w:p>
    <w:p w:rsidR="005933CD" w:rsidRPr="005933CD" w:rsidRDefault="00DB7972" w:rsidP="005933CD">
      <w:pPr>
        <w:shd w:val="clear" w:color="auto" w:fill="E9EBF0"/>
        <w:spacing w:after="0" w:line="7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hyperlink r:id="rId7" w:history="1">
        <w:r w:rsidR="005933CD" w:rsidRPr="005933CD">
          <w:rPr>
            <w:rFonts w:ascii="OpenSans-SemiBold" w:eastAsia="Times New Roman" w:hAnsi="OpenSans-SemiBold" w:cs="Times New Roman"/>
            <w:color w:val="FFFFFF"/>
            <w:sz w:val="21"/>
            <w:szCs w:val="21"/>
            <w:bdr w:val="none" w:sz="0" w:space="0" w:color="auto" w:frame="1"/>
            <w:shd w:val="clear" w:color="auto" w:fill="0D4981"/>
            <w:lang w:eastAsia="ru-RU"/>
          </w:rPr>
          <w:t>Кредитный калькулятор</w:t>
        </w:r>
      </w:hyperlink>
      <w:r w:rsidR="005933CD"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     </w:t>
      </w:r>
      <w:hyperlink r:id="rId8" w:history="1">
        <w:r w:rsidR="005933CD" w:rsidRPr="005933CD">
          <w:rPr>
            <w:rFonts w:ascii="OpenSans-SemiBold" w:eastAsia="Times New Roman" w:hAnsi="OpenSans-SemiBold" w:cs="Times New Roman"/>
            <w:color w:val="FFFFFF"/>
            <w:sz w:val="21"/>
            <w:szCs w:val="21"/>
            <w:bdr w:val="none" w:sz="0" w:space="0" w:color="auto" w:frame="1"/>
            <w:shd w:val="clear" w:color="auto" w:fill="0D4981"/>
            <w:lang w:eastAsia="ru-RU"/>
          </w:rPr>
          <w:t>Заявка на консультацию</w:t>
        </w:r>
      </w:hyperlink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 </w:t>
      </w:r>
    </w:p>
    <w:p w:rsidR="005933CD" w:rsidRPr="005933CD" w:rsidRDefault="005933CD" w:rsidP="005933CD">
      <w:pPr>
        <w:shd w:val="clear" w:color="auto" w:fill="F4F5F9"/>
        <w:spacing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22.1. Условия предоставления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предпринимательства: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lastRenderedPageBreak/>
        <w:t xml:space="preserve">Получателями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являются субъекты малого и среднего предпринимательства, осуществляющие предпринимательскую (хозяйственную) деятельность в сфере кинематографии, признанные таковыми в соответствии с критериями, установленными Федеральном законе «О государственной поддержке кинематографии Российской Федерации» от 22.08.1996 № 126-ФЗ.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22.1.1. На момент обращения с заявлением на получение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(далее – Заявление) субъекту малого и среднего предпринимательства (далее – Заявитель):</w:t>
      </w:r>
    </w:p>
    <w:p w:rsidR="005933CD" w:rsidRPr="005933CD" w:rsidRDefault="005933CD" w:rsidP="005933CD">
      <w:pPr>
        <w:numPr>
          <w:ilvl w:val="0"/>
          <w:numId w:val="1"/>
        </w:numPr>
        <w:shd w:val="clear" w:color="auto" w:fill="F4F5F9"/>
        <w:spacing w:after="0" w:line="450" w:lineRule="atLeast"/>
        <w:ind w:left="270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необходимо быть зарегистрированным в налоговом органе на территории Краснодарского края в установленном законом порядке в качестве юридического лица или физического лица, осуществляющего предпринимательскую деятельность без образования юридического лица (поставленным на учет в налоговом органе на территории Краснодарского края);</w:t>
      </w:r>
    </w:p>
    <w:p w:rsidR="005933CD" w:rsidRPr="005933CD" w:rsidRDefault="005933CD" w:rsidP="005933CD">
      <w:pPr>
        <w:numPr>
          <w:ilvl w:val="0"/>
          <w:numId w:val="1"/>
        </w:numPr>
        <w:shd w:val="clear" w:color="auto" w:fill="F4F5F9"/>
        <w:spacing w:after="0" w:line="450" w:lineRule="atLeast"/>
        <w:ind w:left="270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proofErr w:type="gram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обязан</w:t>
      </w:r>
      <w:proofErr w:type="gram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осуществлять предпринимательскую (хозяйственную) деятельность в сфере кинематографии сроком не менее 1 (одного) месяца непосредственно по состоянию на дату подачи (регистрации) Заявления, а в целом, осуществлять предпринимательскую (хозяйственную) деятельность сроком не менее 6 (шести) месяцев по состоянию на дату подачи (регистрации) Заявления;</w:t>
      </w:r>
    </w:p>
    <w:p w:rsidR="005933CD" w:rsidRPr="005933CD" w:rsidRDefault="005933CD" w:rsidP="005933CD">
      <w:pPr>
        <w:numPr>
          <w:ilvl w:val="0"/>
          <w:numId w:val="1"/>
        </w:numPr>
        <w:shd w:val="clear" w:color="auto" w:fill="F4F5F9"/>
        <w:spacing w:after="0" w:line="450" w:lineRule="atLeast"/>
        <w:ind w:left="270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Заявитель, поставленный на учет в налоговом органе Краснодарского края в связи с изменением места нахождения и осуществляющий предпринимательскую (хозяйственную) деятельность на территории Краснодарского края от 1 (одного) месяца до 6 (шести) месяцев должен предоставить Бизнес-план по форме, утвержденной Фондом.</w:t>
      </w:r>
    </w:p>
    <w:p w:rsidR="005933CD" w:rsidRPr="005933CD" w:rsidRDefault="005933CD" w:rsidP="005933CD">
      <w:pPr>
        <w:numPr>
          <w:ilvl w:val="0"/>
          <w:numId w:val="1"/>
        </w:numPr>
        <w:shd w:val="clear" w:color="auto" w:fill="F4F5F9"/>
        <w:spacing w:after="0" w:line="450" w:lineRule="atLeast"/>
        <w:ind w:left="270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для получения денежных средств, необходимо наличие действующего расчетного счета в кредитной организации;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22.2.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предоставляется на цели:</w:t>
      </w:r>
    </w:p>
    <w:p w:rsidR="005933CD" w:rsidRPr="005933CD" w:rsidRDefault="005933CD" w:rsidP="005933CD">
      <w:pPr>
        <w:numPr>
          <w:ilvl w:val="0"/>
          <w:numId w:val="2"/>
        </w:numPr>
        <w:shd w:val="clear" w:color="auto" w:fill="F4F5F9"/>
        <w:spacing w:after="0" w:line="450" w:lineRule="atLeast"/>
        <w:ind w:left="270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оплата услуг пост-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продакшн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(услуги видео монтажа, услуги звукового редактирования, услуги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цветокоррекции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и услуги компьютерной графики);</w:t>
      </w:r>
    </w:p>
    <w:p w:rsidR="005933CD" w:rsidRPr="005933CD" w:rsidRDefault="005933CD" w:rsidP="005933CD">
      <w:pPr>
        <w:numPr>
          <w:ilvl w:val="0"/>
          <w:numId w:val="2"/>
        </w:numPr>
        <w:shd w:val="clear" w:color="auto" w:fill="F4F5F9"/>
        <w:spacing w:after="0" w:line="450" w:lineRule="atLeast"/>
        <w:ind w:left="270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lastRenderedPageBreak/>
        <w:t>оплата услуг сценарной группы (услуги по написанию сценария и услуги по редактированию сценария);</w:t>
      </w:r>
    </w:p>
    <w:p w:rsidR="005933CD" w:rsidRPr="005933CD" w:rsidRDefault="005933CD" w:rsidP="005933CD">
      <w:pPr>
        <w:numPr>
          <w:ilvl w:val="0"/>
          <w:numId w:val="2"/>
        </w:numPr>
        <w:shd w:val="clear" w:color="auto" w:fill="F4F5F9"/>
        <w:spacing w:after="0" w:line="450" w:lineRule="atLeast"/>
        <w:ind w:left="270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оплата услуг по декорационному оформлению;</w:t>
      </w:r>
    </w:p>
    <w:p w:rsidR="005933CD" w:rsidRPr="005933CD" w:rsidRDefault="005933CD" w:rsidP="005933CD">
      <w:pPr>
        <w:numPr>
          <w:ilvl w:val="0"/>
          <w:numId w:val="2"/>
        </w:numPr>
        <w:shd w:val="clear" w:color="auto" w:fill="F4F5F9"/>
        <w:spacing w:after="0" w:line="450" w:lineRule="atLeast"/>
        <w:ind w:left="270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приобретение операторской техники;</w:t>
      </w:r>
    </w:p>
    <w:p w:rsidR="005933CD" w:rsidRPr="005933CD" w:rsidRDefault="005933CD" w:rsidP="005933CD">
      <w:pPr>
        <w:numPr>
          <w:ilvl w:val="0"/>
          <w:numId w:val="2"/>
        </w:numPr>
        <w:shd w:val="clear" w:color="auto" w:fill="F4F5F9"/>
        <w:spacing w:after="0" w:line="450" w:lineRule="atLeast"/>
        <w:ind w:left="270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приобретение осветительного оборудования;</w:t>
      </w:r>
    </w:p>
    <w:p w:rsidR="005933CD" w:rsidRPr="005933CD" w:rsidRDefault="005933CD" w:rsidP="005933CD">
      <w:pPr>
        <w:numPr>
          <w:ilvl w:val="0"/>
          <w:numId w:val="2"/>
        </w:numPr>
        <w:shd w:val="clear" w:color="auto" w:fill="F4F5F9"/>
        <w:spacing w:after="0" w:line="450" w:lineRule="atLeast"/>
        <w:ind w:left="270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приобретение звукового оборудования;</w:t>
      </w:r>
    </w:p>
    <w:p w:rsidR="005933CD" w:rsidRPr="005933CD" w:rsidRDefault="005933CD" w:rsidP="005933CD">
      <w:pPr>
        <w:numPr>
          <w:ilvl w:val="0"/>
          <w:numId w:val="2"/>
        </w:numPr>
        <w:shd w:val="clear" w:color="auto" w:fill="F4F5F9"/>
        <w:spacing w:after="0" w:line="450" w:lineRule="atLeast"/>
        <w:ind w:left="270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приобретение компьютерной техники, программного обеспечения и лицензий к программам, используемых в предпринимательской деятельности.</w:t>
      </w:r>
    </w:p>
    <w:p w:rsidR="005933CD" w:rsidRPr="005933CD" w:rsidRDefault="005933CD" w:rsidP="005933CD">
      <w:pPr>
        <w:numPr>
          <w:ilvl w:val="0"/>
          <w:numId w:val="2"/>
        </w:numPr>
        <w:shd w:val="clear" w:color="auto" w:fill="F4F5F9"/>
        <w:spacing w:after="0" w:line="450" w:lineRule="atLeast"/>
        <w:ind w:left="270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автобусов, грузовых автомобилей грузоподъемностью от 900 кг, специальных и специализированных транспортных средств, прицепов и полуприцепов к ним для использования в предпринимательской деятельности, кроме легковых автомобилей, не относящихся </w:t>
      </w:r>
      <w:proofErr w:type="gram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к</w:t>
      </w:r>
      <w:proofErr w:type="gram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вышеперечисленным;</w:t>
      </w:r>
    </w:p>
    <w:p w:rsidR="005933CD" w:rsidRPr="005933CD" w:rsidRDefault="005933CD" w:rsidP="005933CD">
      <w:pPr>
        <w:numPr>
          <w:ilvl w:val="0"/>
          <w:numId w:val="2"/>
        </w:numPr>
        <w:shd w:val="clear" w:color="auto" w:fill="F4F5F9"/>
        <w:spacing w:after="0" w:line="450" w:lineRule="atLeast"/>
        <w:ind w:left="270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легковых автомобилей с типом кузова «фургон» грузоподъемностью от 500 кг, легковых автомобилей с типом кузова «пикап», «бортовой» грузоподъемностью от 1000 кг, используемых в предпринимательской деятельности;</w:t>
      </w:r>
    </w:p>
    <w:p w:rsidR="005933CD" w:rsidRPr="005933CD" w:rsidRDefault="005933CD" w:rsidP="005933CD">
      <w:pPr>
        <w:numPr>
          <w:ilvl w:val="0"/>
          <w:numId w:val="2"/>
        </w:numPr>
        <w:shd w:val="clear" w:color="auto" w:fill="F4F5F9"/>
        <w:spacing w:after="0" w:line="450" w:lineRule="atLeast"/>
        <w:ind w:left="270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оплата услуг по ремонту техники, оборудования и транспортных средств, используемых в предпринимательской деятельности.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22.3. Срок предоставления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: от 3 (трех) до 36 (тридцати шести) месяцев (включительно) </w:t>
      </w:r>
      <w:proofErr w:type="gram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с даты перечисления</w:t>
      </w:r>
      <w:proofErr w:type="gram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денежных средств на расчетный счет Заемщика.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При введении на всей территории Российской Федерации,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21.12.1994г. №68-ФЗ «О защите населения и территорий от чрезвычайных ситуаций природного и техногенного характера»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максимальный срок предоставления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для субъектов малого и среднего предпринимательства, осуществляющих деятельность на указанных территориях, </w:t>
      </w:r>
      <w:proofErr w:type="gram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по</w:t>
      </w:r>
      <w:proofErr w:type="gram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действующим</w:t>
      </w:r>
      <w:proofErr w:type="gram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на момент введения одного из указанных </w:t>
      </w: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lastRenderedPageBreak/>
        <w:t xml:space="preserve">режимов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микрозаймам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может быть увеличен и не должен превышать 5 (пять) лет.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proofErr w:type="gram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В случае призыва заемщика на военную службу по мобилизации в Вооруженные Силы Российской Федерации в соответствии с Указом Президента Российской Федерации от 21 сентября 2022 г. N 647 "Об объявлении частичной мобилизации в Российской Федерации" (далее - военная служба по мобилизации) или прохождения заемщиком военной службы по контракту в Вооруженных Силах Российской Федерации, заключенному с 2022 года (далее соответственно - прохождение военной</w:t>
      </w:r>
      <w:proofErr w:type="gram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службы по контракту, контракт о прохождении военной службы), максимальный срок предоставления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для таких заемщиков может быть увеличен на срок прохождения военной службы по мобилизации или прохождения военной службы по контракту: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а) по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микрозаймам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, действующим на дату призыва </w:t>
      </w:r>
      <w:proofErr w:type="gram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заемщика</w:t>
      </w:r>
      <w:proofErr w:type="gram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на военную службу по мобилизации;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б) по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микрозаймам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, действующим на дату подписания заемщиком контракта о прохождении военной службы.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22.4. Сумма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: от 100 000 (сто тысяч) рублей до 5 000 000 (пяти миллионов) рублей (включительно).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22.5. Процентная ставка по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Микрозайму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составляет 3 % </w:t>
      </w:r>
      <w:proofErr w:type="gram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годовых</w:t>
      </w:r>
      <w:proofErr w:type="gram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22.5.1. Процентная ставка по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Микрозайму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определяется исходя из установленной процентной </w:t>
      </w:r>
      <w:proofErr w:type="gram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ставки</w:t>
      </w:r>
      <w:proofErr w:type="gram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действующей на дату регистрации заявления на предоставление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редакции Видов и условий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микрозаймов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. В случае, если на дату заключения договора займа, вышеуказанный размер процентной ставки превышает размер </w:t>
      </w:r>
      <w:proofErr w:type="gram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ставки</w:t>
      </w:r>
      <w:proofErr w:type="gram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рассчитанный исходя из Требований, то в данном случае применяется максимальная процентная ставка, рассчитанная исходя из Требований. </w:t>
      </w:r>
      <w:proofErr w:type="gram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При предоставлении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микрозаймов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в период проведения специальной военной операции субъектам малого и среднего предпринимательства, в случае введения на территории </w:t>
      </w: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lastRenderedPageBreak/>
        <w:t>Краснодарского края в соответствии с Указом Президента Российской Федерации от 19 октября 2022 г. N 757 "О мерах, осуществляемых в субъектах Российской Федерации в связи с Указом Президента Российской Федерации от 19 октября 2022 г. N 756" среднего уровня реагирования, пострадавшим</w:t>
      </w:r>
      <w:proofErr w:type="gram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в результате обстрелов со стороны вооруженных формирований Украины и террористических актов, процентная ставка за пользование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микрозаймом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при наличии или отсутствии залогового имущества не должна превышать ключевую ставку Центрального банка Российской Федерации, установленную на дату заключения договора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22.6. В графике возврата суммы основного долга и уплаты процентов по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Микрозайму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применяется дифференцированная система платежа.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22.7. Возврат основной суммы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осуществляется ежемесячно равными частями.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22.8. Срок возврата средств по Договору займа не должен превышать 36 (тридцать шесть) месяцев.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При введении на всей территории Российской Федерации,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21.12.1994г. №68-ФЗ «О защите населения и территорий от чрезвычайных ситуаций природного и техногенного характера»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максимальный срок предоставления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для субъектов малого и среднего предпринимательства, осуществляющих деятельность на указанных территориях, </w:t>
      </w:r>
      <w:proofErr w:type="gram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по</w:t>
      </w:r>
      <w:proofErr w:type="gram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действующим</w:t>
      </w:r>
      <w:proofErr w:type="gram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на момент введения одного из указанных режимов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микрозаймам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может быть увеличен и не должен превышать 5 (пять) лет.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proofErr w:type="gram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В случае призыва заемщика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"Об объявлении частичной мобилизации в Российской Федерации" (далее - военная </w:t>
      </w: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lastRenderedPageBreak/>
        <w:t>служба по мобилизации) или прохождения заемщиком военной службы по контракту в Вооруженных Силах Российской Федерации, заключенному с 2022 года (далее соответственно - прохождение военной службы</w:t>
      </w:r>
      <w:proofErr w:type="gram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по контракту, контракт о прохождении военной службы), максимальный срок предоставления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для таких заемщиков может быть увеличен на срок прохождения военной службы по мобилизации или прохождения военной службы по контракту: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а) по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микрозаймам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, действующим на дату призыва </w:t>
      </w:r>
      <w:proofErr w:type="gram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заемщика</w:t>
      </w:r>
      <w:proofErr w:type="gram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на военную службу по мобилизации;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б) по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микрозаймам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, действующим на дату подписания заемщиком контракта о прохождении военной службы.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22.9. Уплата процентов за пользование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Микрозаймом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осуществляется ежемесячно, </w:t>
      </w:r>
      <w:proofErr w:type="gram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согласно графика</w:t>
      </w:r>
      <w:proofErr w:type="gram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(от фактической ссудной задолженности).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22.10. При предоставлении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сроком более чем на 12 месяцев, по заявлению Заёмщика может устанавливаться льготный период по возврату основной суммы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до 6 месяцев в случае одобрения Комиссией по предоставлению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микрозаймов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22.11.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в размере от 100 000 (ста тысяч) рублей до 1 000 000 (одного миллиона) рублей (включительно) предоставляется под залог имущества Заемщика и/или третьего лица в соответствии с разделом 9 Правил предоставления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микрозаймов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Фондом.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proofErr w:type="spellStart"/>
      <w:proofErr w:type="gram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в размере более 1 000 000 (одного миллиона) рублей и до 5 000 000 (пяти миллионов) рублей (включительно) предоставляется под залог имущества Заемщика и/или третьего лица, в соответствии с разделом 9 Правил предоставления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микрозаймов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Фондом и поручительство физического и/или юридического лица в обеспечение своевременного и полного исполнения обязательств по Договору займа.</w:t>
      </w:r>
      <w:proofErr w:type="gramEnd"/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lastRenderedPageBreak/>
        <w:t xml:space="preserve">В случае недостаточности залогового имущества, возможно привлечение поручительства Фонда развития бизнеса Краснодарского края, согласно разделу 9 Правил предоставления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микрозаймов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Фондом. В целях обеспечения своевременного и полного исполнения обязательств по Договору займа допускается привлечение нескольких поручителей (физических и/или юридических лиц).</w:t>
      </w:r>
    </w:p>
    <w:p w:rsidR="005933CD" w:rsidRPr="005933CD" w:rsidRDefault="00DB7972" w:rsidP="005933CD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9" w:tooltip="Главная" w:history="1">
        <w:proofErr w:type="spellStart"/>
        <w:r w:rsidR="005933CD" w:rsidRPr="005933CD">
          <w:rPr>
            <w:rFonts w:ascii="OpenSans-SemiBold" w:eastAsia="Times New Roman" w:hAnsi="OpenSans-SemiBold" w:cs="Times New Roman"/>
            <w:color w:val="F4F5F9"/>
            <w:sz w:val="20"/>
            <w:szCs w:val="20"/>
            <w:u w:val="single"/>
            <w:bdr w:val="none" w:sz="0" w:space="0" w:color="auto" w:frame="1"/>
            <w:lang w:eastAsia="ru-RU"/>
          </w:rPr>
          <w:t>я</w:t>
        </w:r>
      </w:hyperlink>
      <w:hyperlink r:id="rId10" w:tooltip="Виды займов" w:history="1">
        <w:r w:rsidR="005933CD" w:rsidRPr="005933CD">
          <w:rPr>
            <w:rFonts w:ascii="OpenSans-SemiBold" w:eastAsia="Times New Roman" w:hAnsi="OpenSans-SemiBold" w:cs="Times New Roman"/>
            <w:color w:val="F4F5F9"/>
            <w:sz w:val="20"/>
            <w:szCs w:val="20"/>
            <w:u w:val="single"/>
            <w:bdr w:val="none" w:sz="0" w:space="0" w:color="auto" w:frame="1"/>
            <w:lang w:eastAsia="ru-RU"/>
          </w:rPr>
          <w:t>Виды</w:t>
        </w:r>
        <w:proofErr w:type="spellEnd"/>
        <w:r w:rsidR="005933CD" w:rsidRPr="005933CD">
          <w:rPr>
            <w:rFonts w:ascii="OpenSans-SemiBold" w:eastAsia="Times New Roman" w:hAnsi="OpenSans-SemiBold" w:cs="Times New Roman"/>
            <w:color w:val="F4F5F9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займов</w:t>
        </w:r>
      </w:hyperlink>
    </w:p>
    <w:p w:rsidR="005933CD" w:rsidRPr="005933CD" w:rsidRDefault="005933CD" w:rsidP="005933CD">
      <w:pPr>
        <w:spacing w:after="0" w:line="240" w:lineRule="auto"/>
        <w:textAlignment w:val="baseline"/>
        <w:rPr>
          <w:rFonts w:ascii="OpenSans-Light" w:eastAsia="Times New Roman" w:hAnsi="OpenSans-Light" w:cs="Times New Roman"/>
          <w:color w:val="F4F5F9"/>
          <w:sz w:val="20"/>
          <w:szCs w:val="20"/>
          <w:lang w:eastAsia="ru-RU"/>
        </w:rPr>
      </w:pPr>
      <w:r w:rsidRPr="005933CD">
        <w:rPr>
          <w:rFonts w:ascii="OpenSans-Light" w:eastAsia="Times New Roman" w:hAnsi="OpenSans-Light" w:cs="Times New Roman"/>
          <w:color w:val="F4F5F9"/>
          <w:sz w:val="20"/>
          <w:szCs w:val="20"/>
          <w:lang w:eastAsia="ru-RU"/>
        </w:rPr>
        <w:t>Бизнес молодых. Второй Шаг</w:t>
      </w:r>
    </w:p>
    <w:p w:rsidR="005933CD" w:rsidRPr="005933CD" w:rsidRDefault="005933CD" w:rsidP="005933CD">
      <w:pPr>
        <w:shd w:val="clear" w:color="auto" w:fill="F4F5F9"/>
        <w:spacing w:after="0" w:line="240" w:lineRule="auto"/>
        <w:textAlignment w:val="baseline"/>
        <w:outlineLvl w:val="0"/>
        <w:rPr>
          <w:rFonts w:ascii="OpenSans-Bold" w:eastAsia="Times New Roman" w:hAnsi="OpenSans-Bold" w:cs="Times New Roman"/>
          <w:b/>
          <w:bCs/>
          <w:color w:val="0D4981"/>
          <w:kern w:val="36"/>
          <w:sz w:val="53"/>
          <w:szCs w:val="53"/>
          <w:lang w:eastAsia="ru-RU"/>
        </w:rPr>
      </w:pPr>
      <w:bookmarkStart w:id="2" w:name="start"/>
      <w:bookmarkStart w:id="3" w:name="biznes_oborot"/>
      <w:bookmarkStart w:id="4" w:name="biznes_invest"/>
      <w:bookmarkStart w:id="5" w:name="fermer"/>
      <w:bookmarkStart w:id="6" w:name="remeslennik"/>
      <w:bookmarkStart w:id="7" w:name="novotekh"/>
      <w:bookmarkStart w:id="8" w:name="razvitie_i_innovatsii"/>
      <w:bookmarkStart w:id="9" w:name="torgovlya"/>
      <w:bookmarkStart w:id="10" w:name="promyshlennik"/>
      <w:bookmarkStart w:id="11" w:name="s_kh_kooperativ"/>
      <w:bookmarkStart w:id="12" w:name="oteler"/>
      <w:bookmarkStart w:id="13" w:name="antikrizisnyy_1_1_1"/>
      <w:bookmarkStart w:id="14" w:name="antikrizisnyy_0_1_1_1"/>
      <w:bookmarkStart w:id="15" w:name="refinans"/>
      <w:bookmarkStart w:id="16" w:name="samozanyatyy"/>
      <w:bookmarkStart w:id="17" w:name="it_tekhnologii"/>
      <w:bookmarkStart w:id="18" w:name="biznes_molodykh"/>
      <w:bookmarkStart w:id="19" w:name="sotsialnyy"/>
      <w:bookmarkStart w:id="20" w:name="eksporter"/>
      <w:bookmarkStart w:id="21" w:name="sdelano_na_kubani"/>
      <w:bookmarkStart w:id="22" w:name="biznes_ipoteka"/>
      <w:bookmarkStart w:id="23" w:name="renovatsiya"/>
      <w:bookmarkStart w:id="24" w:name="biznes_molodykh_vtoroy_shag"/>
      <w:bookmarkStart w:id="25" w:name="kino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proofErr w:type="spellStart"/>
      <w:r w:rsidRPr="005933CD">
        <w:rPr>
          <w:rFonts w:ascii="OpenSans-Bold" w:eastAsia="Times New Roman" w:hAnsi="OpenSans-Bold" w:cs="Times New Roman"/>
          <w:b/>
          <w:bCs/>
          <w:color w:val="0D4981"/>
          <w:kern w:val="36"/>
          <w:sz w:val="53"/>
          <w:szCs w:val="53"/>
          <w:lang w:eastAsia="ru-RU"/>
        </w:rPr>
        <w:t>Микрозайм</w:t>
      </w:r>
      <w:proofErr w:type="spellEnd"/>
      <w:r w:rsidRPr="005933CD">
        <w:rPr>
          <w:rFonts w:ascii="OpenSans-Bold" w:eastAsia="Times New Roman" w:hAnsi="OpenSans-Bold" w:cs="Times New Roman"/>
          <w:b/>
          <w:bCs/>
          <w:color w:val="0D4981"/>
          <w:kern w:val="36"/>
          <w:sz w:val="53"/>
          <w:szCs w:val="53"/>
          <w:lang w:eastAsia="ru-RU"/>
        </w:rPr>
        <w:t xml:space="preserve"> для субъектов малого и среднего предпринимательства,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</w:p>
    <w:p w:rsidR="005933CD" w:rsidRPr="005933CD" w:rsidRDefault="005933CD" w:rsidP="005933CD">
      <w:pPr>
        <w:shd w:val="clear" w:color="auto" w:fill="E9EBF0"/>
        <w:spacing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 wp14:anchorId="2BC5D745" wp14:editId="5FE030EE">
            <wp:extent cx="2352675" cy="2343150"/>
            <wp:effectExtent l="0" t="0" r="9525" b="0"/>
            <wp:docPr id="2" name="Рисунок 2" descr="Бизнес молодых. Второй Ш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изнес молодых. Второй Шаг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3CD" w:rsidRPr="005933CD" w:rsidRDefault="005933CD" w:rsidP="005933CD">
      <w:pPr>
        <w:shd w:val="clear" w:color="auto" w:fill="E9EBF0"/>
        <w:spacing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для субъектов малого и среднего предпринимательства,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</w:p>
    <w:p w:rsidR="005933CD" w:rsidRPr="005933CD" w:rsidRDefault="005933CD" w:rsidP="005933CD">
      <w:pPr>
        <w:shd w:val="clear" w:color="auto" w:fill="DFE2E7"/>
        <w:spacing w:after="0" w:line="450" w:lineRule="atLeast"/>
        <w:jc w:val="center"/>
        <w:textAlignment w:val="center"/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</w:pPr>
      <w:r w:rsidRPr="005933CD"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  <w:t>Сумма </w:t>
      </w:r>
      <w:proofErr w:type="spellStart"/>
      <w:r w:rsidRPr="005933CD"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  <w:t>микрозайма</w:t>
      </w:r>
      <w:proofErr w:type="spellEnd"/>
      <w:r w:rsidRPr="005933CD"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  <w:t>,</w:t>
      </w:r>
      <w:r w:rsidRPr="005933CD"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  <w:br/>
      </w:r>
      <w:proofErr w:type="spellStart"/>
      <w:r w:rsidRPr="005933CD"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  <w:t>тыс</w:t>
      </w:r>
      <w:proofErr w:type="gramStart"/>
      <w:r w:rsidRPr="005933CD"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  <w:t>.р</w:t>
      </w:r>
      <w:proofErr w:type="gramEnd"/>
      <w:r w:rsidRPr="005933CD"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  <w:t>уб</w:t>
      </w:r>
      <w:proofErr w:type="spellEnd"/>
      <w:r w:rsidRPr="005933CD"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  <w:t>.</w:t>
      </w:r>
      <w:r w:rsidRPr="005933CD"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  <w:br/>
      </w:r>
      <w:r w:rsidRPr="005933CD">
        <w:rPr>
          <w:rFonts w:ascii="OpenSans-SemiBold" w:eastAsia="Times New Roman" w:hAnsi="OpenSans-SemiBold" w:cs="Times New Roman"/>
          <w:color w:val="0D4981"/>
          <w:sz w:val="51"/>
          <w:szCs w:val="51"/>
          <w:bdr w:val="none" w:sz="0" w:space="0" w:color="auto" w:frame="1"/>
          <w:lang w:eastAsia="ru-RU"/>
        </w:rPr>
        <w:t>100-5000</w:t>
      </w:r>
    </w:p>
    <w:p w:rsidR="005933CD" w:rsidRPr="005933CD" w:rsidRDefault="005933CD" w:rsidP="005933CD">
      <w:pPr>
        <w:shd w:val="clear" w:color="auto" w:fill="DFE2E7"/>
        <w:spacing w:after="0" w:line="450" w:lineRule="atLeast"/>
        <w:jc w:val="center"/>
        <w:textAlignment w:val="center"/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</w:pPr>
      <w:r w:rsidRPr="005933CD"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  <w:lastRenderedPageBreak/>
        <w:t xml:space="preserve">Ставка, % </w:t>
      </w:r>
      <w:proofErr w:type="gramStart"/>
      <w:r w:rsidRPr="005933CD"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  <w:t>годовых</w:t>
      </w:r>
      <w:proofErr w:type="gramEnd"/>
      <w:r w:rsidRPr="005933CD"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  <w:br/>
      </w:r>
      <w:r w:rsidRPr="005933CD">
        <w:rPr>
          <w:rFonts w:ascii="OpenSans-SemiBold" w:eastAsia="Times New Roman" w:hAnsi="OpenSans-SemiBold" w:cs="Times New Roman"/>
          <w:color w:val="0D4981"/>
          <w:sz w:val="51"/>
          <w:szCs w:val="51"/>
          <w:bdr w:val="none" w:sz="0" w:space="0" w:color="auto" w:frame="1"/>
          <w:lang w:eastAsia="ru-RU"/>
        </w:rPr>
        <w:t>1</w:t>
      </w:r>
    </w:p>
    <w:p w:rsidR="005933CD" w:rsidRPr="005933CD" w:rsidRDefault="005933CD" w:rsidP="005933CD">
      <w:pPr>
        <w:shd w:val="clear" w:color="auto" w:fill="DFE2E7"/>
        <w:spacing w:after="0" w:line="450" w:lineRule="atLeast"/>
        <w:jc w:val="center"/>
        <w:textAlignment w:val="center"/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</w:pPr>
      <w:r w:rsidRPr="005933CD"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  <w:t>Срок, мес.</w:t>
      </w:r>
      <w:r w:rsidRPr="005933CD"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  <w:br/>
      </w:r>
      <w:r w:rsidRPr="005933CD">
        <w:rPr>
          <w:rFonts w:ascii="OpenSans-SemiBold" w:eastAsia="Times New Roman" w:hAnsi="OpenSans-SemiBold" w:cs="Times New Roman"/>
          <w:color w:val="0D4981"/>
          <w:sz w:val="51"/>
          <w:szCs w:val="51"/>
          <w:bdr w:val="none" w:sz="0" w:space="0" w:color="auto" w:frame="1"/>
          <w:lang w:eastAsia="ru-RU"/>
        </w:rPr>
        <w:t>3-36</w:t>
      </w:r>
    </w:p>
    <w:p w:rsidR="005933CD" w:rsidRPr="005933CD" w:rsidRDefault="005933CD" w:rsidP="005933CD">
      <w:pPr>
        <w:shd w:val="clear" w:color="auto" w:fill="DFE2E7"/>
        <w:spacing w:after="0" w:line="450" w:lineRule="atLeast"/>
        <w:jc w:val="center"/>
        <w:textAlignment w:val="center"/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</w:pPr>
      <w:r w:rsidRPr="005933CD"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  <w:t>Льготное погашение</w:t>
      </w:r>
      <w:r w:rsidRPr="005933CD"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  <w:br/>
        <w:t>основного долга</w:t>
      </w:r>
      <w:r w:rsidRPr="005933CD">
        <w:rPr>
          <w:rFonts w:ascii="OpenSans-SemiBold" w:eastAsia="Times New Roman" w:hAnsi="OpenSans-SemiBold" w:cs="Times New Roman"/>
          <w:color w:val="0D4981"/>
          <w:sz w:val="24"/>
          <w:szCs w:val="24"/>
          <w:lang w:eastAsia="ru-RU"/>
        </w:rPr>
        <w:br/>
      </w:r>
      <w:r w:rsidRPr="005933CD">
        <w:rPr>
          <w:rFonts w:ascii="OpenSans-SemiBold" w:eastAsia="Times New Roman" w:hAnsi="OpenSans-SemiBold" w:cs="Times New Roman"/>
          <w:color w:val="0D4981"/>
          <w:sz w:val="51"/>
          <w:szCs w:val="51"/>
          <w:bdr w:val="none" w:sz="0" w:space="0" w:color="auto" w:frame="1"/>
          <w:lang w:eastAsia="ru-RU"/>
        </w:rPr>
        <w:t>до 12 мес.</w:t>
      </w:r>
    </w:p>
    <w:p w:rsidR="005933CD" w:rsidRPr="005933CD" w:rsidRDefault="00DB7972" w:rsidP="005933CD">
      <w:pPr>
        <w:shd w:val="clear" w:color="auto" w:fill="E9EBF0"/>
        <w:spacing w:after="0" w:line="7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hyperlink r:id="rId12" w:history="1">
        <w:r w:rsidR="005933CD" w:rsidRPr="005933CD">
          <w:rPr>
            <w:rFonts w:ascii="OpenSans-SemiBold" w:eastAsia="Times New Roman" w:hAnsi="OpenSans-SemiBold" w:cs="Times New Roman"/>
            <w:color w:val="FFFFFF"/>
            <w:sz w:val="21"/>
            <w:szCs w:val="21"/>
            <w:u w:val="single"/>
            <w:bdr w:val="none" w:sz="0" w:space="0" w:color="auto" w:frame="1"/>
            <w:shd w:val="clear" w:color="auto" w:fill="0D4981"/>
            <w:lang w:eastAsia="ru-RU"/>
          </w:rPr>
          <w:t>Кредитный калькулятор</w:t>
        </w:r>
      </w:hyperlink>
      <w:r w:rsidR="005933CD"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     </w:t>
      </w:r>
      <w:hyperlink r:id="rId13" w:history="1">
        <w:r w:rsidR="005933CD" w:rsidRPr="005933CD">
          <w:rPr>
            <w:rFonts w:ascii="OpenSans-SemiBold" w:eastAsia="Times New Roman" w:hAnsi="OpenSans-SemiBold" w:cs="Times New Roman"/>
            <w:color w:val="FFFFFF"/>
            <w:sz w:val="21"/>
            <w:szCs w:val="21"/>
            <w:u w:val="single"/>
            <w:bdr w:val="none" w:sz="0" w:space="0" w:color="auto" w:frame="1"/>
            <w:shd w:val="clear" w:color="auto" w:fill="0D4981"/>
            <w:lang w:eastAsia="ru-RU"/>
          </w:rPr>
          <w:t>Заявка на консультацию</w:t>
        </w:r>
      </w:hyperlink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 </w:t>
      </w:r>
    </w:p>
    <w:p w:rsidR="005933CD" w:rsidRPr="005933CD" w:rsidRDefault="005933CD" w:rsidP="005933CD">
      <w:pPr>
        <w:shd w:val="clear" w:color="auto" w:fill="F4F5F9"/>
        <w:spacing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23.1. Условия предоставления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для субъектов малого и среднего предпринимательства, физических лиц, не являющихся индивидуальными предпринимателями, применяющих специальный налоговый режим «Налог на профессиональный доход»: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получателями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являются субъекты малого и среднего предпринимательства, а также физические лица, не являющиеся индивидуальными предпринимателями, применяющие специальный налоговый режим «Налог на профессиональный доход», защитившие бизнес-проект в рамках образовательного курса «Школа молодого предпринимателя. Бизнес молодых», проводимого унитарной некоммерческой организацией «Фонд развития бизнеса Краснодарского края», а также ранее получившие в Фонде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«Бизнес молодых» и осуществившие его погашение.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23.1.1. На момент обращения с Заявлением Заявителю, соответствующему требованиям п. 23.1.:</w:t>
      </w:r>
    </w:p>
    <w:p w:rsidR="005933CD" w:rsidRPr="005933CD" w:rsidRDefault="005933CD" w:rsidP="005933CD">
      <w:pPr>
        <w:numPr>
          <w:ilvl w:val="0"/>
          <w:numId w:val="3"/>
        </w:numPr>
        <w:shd w:val="clear" w:color="auto" w:fill="F4F5F9"/>
        <w:spacing w:after="0" w:line="450" w:lineRule="atLeast"/>
        <w:ind w:left="270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proofErr w:type="gram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необходимо быть зарегистрированным в налоговом органе на территории Краснодарского края в установленном законом порядке в качестве юридического лица или физического лица, осуществляющего предпринимательскую деятельность без образования юридического лица (поставленным на учет в налоговом органе на территории Краснодарского края), либо состоять на учете в налоговом органе в соответствии с </w:t>
      </w: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lastRenderedPageBreak/>
        <w:t>требованиями Федерального закона от 27.11.2018 № 422-ФЗ «О проведении эксперимента по установлению специального</w:t>
      </w:r>
      <w:proofErr w:type="gram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налогового режима «Налог на профессиональный доход», быть зарегистрированным и осуществлять деятельность на территории Краснодарского края;</w:t>
      </w:r>
    </w:p>
    <w:p w:rsidR="005933CD" w:rsidRPr="005933CD" w:rsidRDefault="005933CD" w:rsidP="005933CD">
      <w:pPr>
        <w:numPr>
          <w:ilvl w:val="0"/>
          <w:numId w:val="3"/>
        </w:numPr>
        <w:shd w:val="clear" w:color="auto" w:fill="F4F5F9"/>
        <w:spacing w:after="0" w:line="450" w:lineRule="atLeast"/>
        <w:ind w:left="270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для получения денежных средств, необходимо наличие действующего расчетного счета в кредитной организации, либо если Заявитель является гражданином, применяющим специальный налоговый режим «Налог на профессиональный доход» необходимо наличие действующего счета в кредитной организации.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23.2.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предоставляется на цели: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proofErr w:type="gram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Приобретение оборотных средств (материально-производственных запасов со сроком полезного использования до 12 месяцев (в соответствии с ФСБУ 5/2019 «Запасы»), в том числе:</w:t>
      </w:r>
      <w:proofErr w:type="gramEnd"/>
    </w:p>
    <w:p w:rsidR="005933CD" w:rsidRPr="005933CD" w:rsidRDefault="005933CD" w:rsidP="005933CD">
      <w:pPr>
        <w:numPr>
          <w:ilvl w:val="0"/>
          <w:numId w:val="4"/>
        </w:numPr>
        <w:shd w:val="clear" w:color="auto" w:fill="F4F5F9"/>
        <w:spacing w:after="0" w:line="450" w:lineRule="atLeast"/>
        <w:ind w:left="270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товаров, сырья и полуфабрикатов для производства, горюче-смазочных материалов (не для последующей продажи), запасных частей и материалов для ремонта техники, оборудования и транспортных средств, используемых в производственном процессе, минеральных и органических удобрений, средств защиты растений, посадочного материала, кормов и ветеринарных препаратов;</w:t>
      </w:r>
    </w:p>
    <w:p w:rsidR="005933CD" w:rsidRPr="005933CD" w:rsidRDefault="005933CD" w:rsidP="005933CD">
      <w:pPr>
        <w:numPr>
          <w:ilvl w:val="0"/>
          <w:numId w:val="4"/>
        </w:numPr>
        <w:shd w:val="clear" w:color="auto" w:fill="F4F5F9"/>
        <w:spacing w:after="0" w:line="450" w:lineRule="atLeast"/>
        <w:ind w:left="270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сельскохозяйственных животных и птиц, малька рыбы для деятельности, связанной с рыбоводством;</w:t>
      </w:r>
    </w:p>
    <w:p w:rsidR="005933CD" w:rsidRPr="005933CD" w:rsidRDefault="005933CD" w:rsidP="005933CD">
      <w:pPr>
        <w:numPr>
          <w:ilvl w:val="0"/>
          <w:numId w:val="4"/>
        </w:numPr>
        <w:shd w:val="clear" w:color="auto" w:fill="F4F5F9"/>
        <w:spacing w:after="0" w:line="450" w:lineRule="atLeast"/>
        <w:ind w:left="270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proofErr w:type="gram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иных оборотных средств (материально-производственных запасов со сроком полезного использования до 12 месяцев (в соответствии с ФСБУ 5/2019 «Запасы») используемых в предпринимательской деятельности.</w:t>
      </w:r>
      <w:proofErr w:type="gramEnd"/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Оплата не более 6 (шести) ежемесячных арендных платежей по договору аренды недвижимости, используемой в предпринимательской (профессиональной) деятельности.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Приобретение основных средств, в том числе:</w:t>
      </w:r>
    </w:p>
    <w:p w:rsidR="005933CD" w:rsidRPr="005933CD" w:rsidRDefault="005933CD" w:rsidP="005933CD">
      <w:pPr>
        <w:numPr>
          <w:ilvl w:val="0"/>
          <w:numId w:val="5"/>
        </w:numPr>
        <w:shd w:val="clear" w:color="auto" w:fill="F4F5F9"/>
        <w:spacing w:after="0" w:line="450" w:lineRule="atLeast"/>
        <w:ind w:left="270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производственного, технологического, торгового и офисного оборудования;</w:t>
      </w:r>
    </w:p>
    <w:p w:rsidR="005933CD" w:rsidRPr="005933CD" w:rsidRDefault="005933CD" w:rsidP="005933CD">
      <w:pPr>
        <w:numPr>
          <w:ilvl w:val="0"/>
          <w:numId w:val="5"/>
        </w:numPr>
        <w:shd w:val="clear" w:color="auto" w:fill="F4F5F9"/>
        <w:spacing w:after="0" w:line="450" w:lineRule="atLeast"/>
        <w:ind w:left="270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lastRenderedPageBreak/>
        <w:t xml:space="preserve">автобусов, грузовых автомобилей грузоподъемностью от 900 кг, специальных и специализированных транспортных средств, прицепов и полуприцепов к ним для использования в предпринимательской (профессиональной) деятельности, кроме легковых автомобилей, не относящихся </w:t>
      </w:r>
      <w:proofErr w:type="gram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к</w:t>
      </w:r>
      <w:proofErr w:type="gram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вышеперечисленным;</w:t>
      </w:r>
    </w:p>
    <w:p w:rsidR="005933CD" w:rsidRPr="005933CD" w:rsidRDefault="005933CD" w:rsidP="005933CD">
      <w:pPr>
        <w:numPr>
          <w:ilvl w:val="0"/>
          <w:numId w:val="5"/>
        </w:numPr>
        <w:shd w:val="clear" w:color="auto" w:fill="F4F5F9"/>
        <w:spacing w:after="0" w:line="450" w:lineRule="atLeast"/>
        <w:ind w:left="270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легковых автомобилей с типом кузова «фургон» грузоподъемностью от 500 кг, легковых автомобилей с типом кузова «пикап», «бортовой» грузоподъемностью от 1000 кг, используемых в предпринимательской (профессиональной) деятельности;</w:t>
      </w:r>
    </w:p>
    <w:p w:rsidR="005933CD" w:rsidRPr="005933CD" w:rsidRDefault="005933CD" w:rsidP="005933CD">
      <w:pPr>
        <w:numPr>
          <w:ilvl w:val="0"/>
          <w:numId w:val="5"/>
        </w:numPr>
        <w:shd w:val="clear" w:color="auto" w:fill="F4F5F9"/>
        <w:spacing w:after="0" w:line="450" w:lineRule="atLeast"/>
        <w:ind w:left="270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летательных аппаратов (воздушного транспорта), внутреннего водного транспорта, морского транспорта для использования в предпринимательской (профессиональной) деятельности;</w:t>
      </w:r>
    </w:p>
    <w:p w:rsidR="005933CD" w:rsidRPr="005933CD" w:rsidRDefault="005933CD" w:rsidP="005933CD">
      <w:pPr>
        <w:numPr>
          <w:ilvl w:val="0"/>
          <w:numId w:val="5"/>
        </w:numPr>
        <w:shd w:val="clear" w:color="auto" w:fill="F4F5F9"/>
        <w:spacing w:after="0" w:line="450" w:lineRule="atLeast"/>
        <w:ind w:left="270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нежилых помещений, зданий (в том числе доли в праве собственности на эти объекты недвижимого имущества) и сооружений, используемых для предпринимательской (профессиональной) деятельности;</w:t>
      </w:r>
    </w:p>
    <w:p w:rsidR="005933CD" w:rsidRPr="005933CD" w:rsidRDefault="005933CD" w:rsidP="005933CD">
      <w:pPr>
        <w:numPr>
          <w:ilvl w:val="0"/>
          <w:numId w:val="5"/>
        </w:numPr>
        <w:shd w:val="clear" w:color="auto" w:fill="F4F5F9"/>
        <w:spacing w:after="0" w:line="450" w:lineRule="atLeast"/>
        <w:ind w:left="270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земель сельскохозяйственного назначения и земель с разрешенным использованием для строительства и/или эксплуатации объектов коммерческого назначения (в том числе доли в праве собственности на вышеуказанные земельные участки);</w:t>
      </w:r>
    </w:p>
    <w:p w:rsidR="005933CD" w:rsidRPr="005933CD" w:rsidRDefault="005933CD" w:rsidP="005933CD">
      <w:pPr>
        <w:numPr>
          <w:ilvl w:val="0"/>
          <w:numId w:val="5"/>
        </w:numPr>
        <w:shd w:val="clear" w:color="auto" w:fill="F4F5F9"/>
        <w:spacing w:after="0" w:line="450" w:lineRule="atLeast"/>
        <w:ind w:left="270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и иных основных средств, используемых в предпринимательской (профессиональной) деятельности.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Приобретение компьютерной техники, программного обеспечения и лицензий к программам, используемых в предпринимательской (профессиональной) деятельности.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Приобретение имущества, не являющегося амортизируемым имуществом, стоимость которого включается в состав материальных расходов в течение более одного отчетного периода, с учетом срока его использования или иных экономически обоснованных показателей (подпункт 3 пункт 1 статьи 254 НК РФ).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Выплата по передаче прав на франшизу (паушальный взнос).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lastRenderedPageBreak/>
        <w:t>Оплата услуг по изготовлению и размещению рекламы и рекламной продукции.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Оплата услуг по ремонту техники, оборудования и транспортных средств, используемых в производственном процессе.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Строительство, ремонт и реконструкция, в том числе:</w:t>
      </w:r>
    </w:p>
    <w:p w:rsidR="005933CD" w:rsidRPr="005933CD" w:rsidRDefault="005933CD" w:rsidP="005933CD">
      <w:pPr>
        <w:numPr>
          <w:ilvl w:val="0"/>
          <w:numId w:val="6"/>
        </w:numPr>
        <w:shd w:val="clear" w:color="auto" w:fill="F4F5F9"/>
        <w:spacing w:after="0" w:line="450" w:lineRule="atLeast"/>
        <w:ind w:left="270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нежилых помещений, зданий и сооружений, используемых для предпринимательской (профессиональной) деятельности;</w:t>
      </w:r>
    </w:p>
    <w:p w:rsidR="005933CD" w:rsidRPr="005933CD" w:rsidRDefault="005933CD" w:rsidP="005933CD">
      <w:pPr>
        <w:numPr>
          <w:ilvl w:val="0"/>
          <w:numId w:val="6"/>
        </w:numPr>
        <w:shd w:val="clear" w:color="auto" w:fill="F4F5F9"/>
        <w:spacing w:after="0" w:line="450" w:lineRule="atLeast"/>
        <w:ind w:left="270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приобретение строительных материалов для строительства, ремонта и реконструкции нежилых помещений, зданий и сооружений, используемых для предпринимательской (профессиональной) деятельности;</w:t>
      </w:r>
    </w:p>
    <w:p w:rsidR="005933CD" w:rsidRPr="005933CD" w:rsidRDefault="005933CD" w:rsidP="005933CD">
      <w:pPr>
        <w:numPr>
          <w:ilvl w:val="0"/>
          <w:numId w:val="6"/>
        </w:numPr>
        <w:shd w:val="clear" w:color="auto" w:fill="F4F5F9"/>
        <w:spacing w:after="0" w:line="450" w:lineRule="atLeast"/>
        <w:ind w:left="270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приобретение материалов, необходимых для благоустройства прилегающей территории к нежилым помещениям, зданиям и сооружениям, используемым для предпринимательской (профессиональной) деятельности, и оплата услуг по благоустройству;</w:t>
      </w:r>
    </w:p>
    <w:p w:rsidR="005933CD" w:rsidRPr="005933CD" w:rsidRDefault="005933CD" w:rsidP="005933CD">
      <w:pPr>
        <w:numPr>
          <w:ilvl w:val="0"/>
          <w:numId w:val="6"/>
        </w:numPr>
        <w:shd w:val="clear" w:color="auto" w:fill="F4F5F9"/>
        <w:spacing w:after="0" w:line="450" w:lineRule="atLeast"/>
        <w:ind w:left="270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оплата работ, услуг и приобретение материалов, необходимых для организации внешних и внутренних инженерных систем в нежилых помещениях, зданиях и сооружениях, используемых для предпринимательской деятельности;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Выплата заработной платы работникам за период не более 6 (шести) месяцев согласно штатному расписанию, действующему на дату подачи (регистрации) Заявления (не применяется к Заявителям, применяющим специальный налоговый режим «Налог на профессиональный доход»).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23.3. Срок предоставления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: от 3 (трех) до 36 (тридцати шести) месяцев (включительно) </w:t>
      </w:r>
      <w:proofErr w:type="gram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с даты перечисления</w:t>
      </w:r>
      <w:proofErr w:type="gram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денежных средств на счет Заемщика.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При введении на всей территории Российской Федерации,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21.12.1994г. №68-ФЗ «О защите населения и территорий от чрезвычайных ситуаций природного и техногенного характера»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lastRenderedPageBreak/>
        <w:t xml:space="preserve">максимальный срок предоставления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для субъектов малого и среднего предпринимательства, осуществляющих деятельность на указанных территориях, </w:t>
      </w:r>
      <w:proofErr w:type="gram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по</w:t>
      </w:r>
      <w:proofErr w:type="gram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действующим</w:t>
      </w:r>
      <w:proofErr w:type="gram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на момент введения одного из указанных режимов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микрозаймам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может быть увеличен и не должен превышать 5 (пять) лет.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proofErr w:type="gram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В случае призыва заемщика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(далее - военная служба по мобилизации) или прохождения заемщиком военной службы по контракту в Вооруженных Силах Российской Федерации, заключенному с 2022 года (далее соответственно - прохождение военной службы</w:t>
      </w:r>
      <w:proofErr w:type="gram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по контракту, контракт о прохождении военной службы), максимальный срок предоставления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для таких заемщиков может быть увеличен на срок прохождения военной службы по мобилизации или прохождения военной службы по контракту: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а) по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микрозаймам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, действующим на дату призыва </w:t>
      </w:r>
      <w:proofErr w:type="gram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заемщика</w:t>
      </w:r>
      <w:proofErr w:type="gram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на военную службу по мобилизации;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б) по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микрозаймам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, действующим на дату подписания заемщиком контракта о прохождении военной службы.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23.4. Сумма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: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23.4.1. для субъектов малого и среднего предпринимательства, зарегистрированных в качестве индивидуального предпринимателя и юридического лица - от 100 000 (ста тысяч) рублей 5 000 000 (пяти миллионов) рублей (включительно);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23.4.2. для граждан, применяющих специальный налоговый режим «Налог на профессиональный доход» от 100 000 (ста тысяч) рублей до 500 000 (пятисот тысяч) рублей (включительно).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lastRenderedPageBreak/>
        <w:t xml:space="preserve">23.5. Процентная ставка по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Микрозайму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составляет 1 % </w:t>
      </w:r>
      <w:proofErr w:type="gram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годовых</w:t>
      </w:r>
      <w:proofErr w:type="gram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23.5.1. Процентная ставка по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Микрозайму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определяется исходя из установленной процентной </w:t>
      </w:r>
      <w:proofErr w:type="gram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ставки</w:t>
      </w:r>
      <w:proofErr w:type="gram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действующей на дату регистрации заявления на предоставление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редакции Видов и условий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микрозаймов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. В случае, если на дату заключения договора займа, вышеуказанный размер процентной ставки превышает размер </w:t>
      </w:r>
      <w:proofErr w:type="gram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ставки</w:t>
      </w:r>
      <w:proofErr w:type="gram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рассчитанный исходя из требований к организациям, образующим инфраструктуру поддержки субъектов малого и среднего предпринимательства,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(далее – Требования), то в данном </w:t>
      </w:r>
      <w:proofErr w:type="gram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случае</w:t>
      </w:r>
      <w:proofErr w:type="gram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применяется максимальная процентная ставка, рассчитанная исходя из Требований. </w:t>
      </w:r>
      <w:proofErr w:type="gram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При предоставлении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микрозаймов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в период проведения специальной военной операции субъектам малого и среднего предпринимательства, в случае введения на территории Краснодарского края в соответствии с Указом Президента Российской Федерации от 19 октября 2022 г. N 757 "О мерах, осуществляемых в субъектах Российской Федерации в связи с Указом Президента Российской Федерации от 19 октября 2022 г. N 756" среднего уровня реагирования, пострадавшим</w:t>
      </w:r>
      <w:proofErr w:type="gram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в результате обстрелов со стороны вооруженных формирований Украины и террористических актов, процентная ставка за пользование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микрозаймом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при наличии или отсутствии залогового имущества не должна превышать ключевую ставку Центрального банка Российской Федерации, установленную на дату заключения договора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23.6. В графике возврата суммы основного долга и уплаты процентов по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Микрозайму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применяется дифференцированная система платежа.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23.7. Возврат основной суммы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осуществляется ежемесячно равными частями.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23.8. Срок возврата средств по Договору займа не должен превышать 36 (тридцать шесть) месяцев.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lastRenderedPageBreak/>
        <w:t>При введении на всей территории Российской Федерации,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21.12.1994г. №68-ФЗ «О защите населения и территорий от чрезвычайных ситуаций природного и техногенного характера»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максимальный срок предоставления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для субъектов малого и среднего предпринимательства, осуществляющих деятельность на указанных территориях, </w:t>
      </w:r>
      <w:proofErr w:type="gram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по</w:t>
      </w:r>
      <w:proofErr w:type="gram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действующим</w:t>
      </w:r>
      <w:proofErr w:type="gram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на момент введения одного из указанных режимов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микрозаймам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может быть увеличен и не должен превышать 5 (пять) лет.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proofErr w:type="gram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В случае призыва заемщика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(далее - военная служба по мобилизации) или прохождения заемщиком военной службы по контракту в Вооруженных Силах Российской Федерации, заключенному с 2022 года (далее соответственно - прохождение военной службы</w:t>
      </w:r>
      <w:proofErr w:type="gram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по контракту, контракт о прохождении военной службы), максимальный срок предоставления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для таких заемщиков может быть увеличен на срок прохождения военной службы по мобилизации или прохождения военной службы по контракту: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а) по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микрозаймам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, действующим на дату призыва </w:t>
      </w:r>
      <w:proofErr w:type="gram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заемщика</w:t>
      </w:r>
      <w:proofErr w:type="gram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на военную службу по мобилизации;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б) по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микрозаймам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, действующим на дату подписания заемщиком контракта о прохождении военной службы.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23.9. Уплата процентов за пользование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Микрозаймом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осуществляется ежемесячно, </w:t>
      </w:r>
      <w:proofErr w:type="gram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согласно графика</w:t>
      </w:r>
      <w:proofErr w:type="gram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(от фактической ссудной задолженности).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lastRenderedPageBreak/>
        <w:t xml:space="preserve">23.10. По заявлению Заёмщика может устанавливаться льготный период по возврату основной суммы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Микрозайма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до 12 месяцев, в случае одобрения Комиссией по предоставлению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микрозаймов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.</w:t>
      </w:r>
    </w:p>
    <w:p w:rsidR="005933CD" w:rsidRPr="005933CD" w:rsidRDefault="005933CD" w:rsidP="005933CD">
      <w:pPr>
        <w:shd w:val="clear" w:color="auto" w:fill="F4F5F9"/>
        <w:spacing w:before="225" w:after="0" w:line="450" w:lineRule="atLeast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23.11.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предоставляется при условии привлечения поручительства унитарной некоммерческой организации «Фонд развития бизнеса Краснодарского края» обеспечивающего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в размере не менее 50% от суммы обязательств в части возврата суммы основного долга по </w:t>
      </w:r>
      <w:proofErr w:type="spellStart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Микрозайму</w:t>
      </w:r>
      <w:proofErr w:type="spellEnd"/>
      <w:r w:rsidRPr="005933CD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.</w:t>
      </w:r>
    </w:p>
    <w:p w:rsidR="00CC3000" w:rsidRDefault="00CC3000"/>
    <w:sectPr w:rsidR="00CC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Bold">
    <w:altName w:val="Times New Roman"/>
    <w:panose1 w:val="00000000000000000000"/>
    <w:charset w:val="00"/>
    <w:family w:val="roman"/>
    <w:notTrueType/>
    <w:pitch w:val="default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OpenSans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B26"/>
    <w:multiLevelType w:val="multilevel"/>
    <w:tmpl w:val="4FC4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856207"/>
    <w:multiLevelType w:val="multilevel"/>
    <w:tmpl w:val="D17E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677531"/>
    <w:multiLevelType w:val="multilevel"/>
    <w:tmpl w:val="7004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987FC7"/>
    <w:multiLevelType w:val="multilevel"/>
    <w:tmpl w:val="9C12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2469E3"/>
    <w:multiLevelType w:val="multilevel"/>
    <w:tmpl w:val="E1F8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AF0648"/>
    <w:multiLevelType w:val="multilevel"/>
    <w:tmpl w:val="2BB0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CD"/>
    <w:rsid w:val="005933CD"/>
    <w:rsid w:val="005B496F"/>
    <w:rsid w:val="00CC3000"/>
    <w:rsid w:val="00DB7972"/>
    <w:rsid w:val="00D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0082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43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682">
                  <w:marLeft w:val="15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5134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02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360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none" w:sz="0" w:space="4" w:color="auto"/>
                            <w:right w:val="single" w:sz="6" w:space="30" w:color="C3C8D1"/>
                          </w:divBdr>
                          <w:divsChild>
                            <w:div w:id="5748088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4" w:color="auto"/>
                                <w:left w:val="none" w:sz="0" w:space="0" w:color="auto"/>
                                <w:bottom w:val="none" w:sz="0" w:space="4" w:color="auto"/>
                                <w:right w:val="single" w:sz="6" w:space="30" w:color="C3C8D1"/>
                              </w:divBdr>
                            </w:div>
                            <w:div w:id="108947128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6111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029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4" w:color="auto"/>
                                <w:left w:val="none" w:sz="0" w:space="0" w:color="auto"/>
                                <w:bottom w:val="none" w:sz="0" w:space="4" w:color="auto"/>
                                <w:right w:val="single" w:sz="6" w:space="30" w:color="C3C8D1"/>
                              </w:divBdr>
                            </w:div>
                            <w:div w:id="64077114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10603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06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049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7239">
                  <w:marLeft w:val="0"/>
                  <w:marRight w:val="0"/>
                  <w:marTop w:val="4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70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0265">
                          <w:marLeft w:val="150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453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52489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414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4" w:color="auto"/>
                                    <w:left w:val="none" w:sz="0" w:space="0" w:color="auto"/>
                                    <w:bottom w:val="none" w:sz="0" w:space="4" w:color="auto"/>
                                    <w:right w:val="single" w:sz="6" w:space="30" w:color="C3C8D1"/>
                                  </w:divBdr>
                                  <w:divsChild>
                                    <w:div w:id="190290426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4" w:color="auto"/>
                                        <w:left w:val="none" w:sz="0" w:space="0" w:color="auto"/>
                                        <w:bottom w:val="none" w:sz="0" w:space="4" w:color="auto"/>
                                        <w:right w:val="single" w:sz="6" w:space="30" w:color="C3C8D1"/>
                                      </w:divBdr>
                                    </w:div>
                                    <w:div w:id="153442063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5166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0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4" w:color="auto"/>
                                        <w:left w:val="none" w:sz="0" w:space="0" w:color="auto"/>
                                        <w:bottom w:val="none" w:sz="0" w:space="4" w:color="auto"/>
                                        <w:right w:val="single" w:sz="6" w:space="30" w:color="C3C8D1"/>
                                      </w:divBdr>
                                    </w:div>
                                    <w:div w:id="163663723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20228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24222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kk.ru/types/claim.php" TargetMode="External"/><Relationship Id="rId13" Type="http://schemas.openxmlformats.org/officeDocument/2006/relationships/hyperlink" Target="https://fmkk.ru/types/claim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mkk.ru/calc/?zaim=29" TargetMode="External"/><Relationship Id="rId12" Type="http://schemas.openxmlformats.org/officeDocument/2006/relationships/hyperlink" Target="https://fmkk.ru/calc/?zaim=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mkk.ru/typ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mk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3333</Words>
  <Characters>19003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3kab</dc:creator>
  <cp:lastModifiedBy>Администрация1</cp:lastModifiedBy>
  <cp:revision>2</cp:revision>
  <dcterms:created xsi:type="dcterms:W3CDTF">2023-06-20T07:45:00Z</dcterms:created>
  <dcterms:modified xsi:type="dcterms:W3CDTF">2023-06-20T07:45:00Z</dcterms:modified>
</cp:coreProperties>
</file>